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E2D98" w14:textId="38FC59D0" w:rsidR="00583A4D" w:rsidRPr="00583A4D" w:rsidRDefault="00583A4D" w:rsidP="00583A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583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H O T Ă R Â R E</w:t>
      </w:r>
    </w:p>
    <w:p w14:paraId="5507F02B" w14:textId="77777777" w:rsidR="00583A4D" w:rsidRPr="00583A4D" w:rsidRDefault="00583A4D" w:rsidP="00583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583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pentru modificarea </w:t>
      </w:r>
      <w:proofErr w:type="spellStart"/>
      <w:r w:rsidRPr="00583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Instrucţiunii</w:t>
      </w:r>
      <w:proofErr w:type="spellEnd"/>
      <w:r w:rsidRPr="00583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cu privire la prezentarea de către bănci a</w:t>
      </w:r>
    </w:p>
    <w:p w14:paraId="2C957432" w14:textId="77777777" w:rsidR="00583A4D" w:rsidRPr="00583A4D" w:rsidRDefault="00583A4D" w:rsidP="00583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583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rapoartelor COREP în scopuri de supraveghere, aprobate prin Hotărârea</w:t>
      </w:r>
    </w:p>
    <w:p w14:paraId="7C975C15" w14:textId="77777777" w:rsidR="00583A4D" w:rsidRPr="00583A4D" w:rsidRDefault="00583A4D" w:rsidP="00583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583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Comitetului executiv al Băncii </w:t>
      </w:r>
      <w:proofErr w:type="spellStart"/>
      <w:r w:rsidRPr="00583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Naţionale</w:t>
      </w:r>
      <w:proofErr w:type="spellEnd"/>
      <w:r w:rsidRPr="00583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a Moldovei nr. 117/2018</w:t>
      </w:r>
    </w:p>
    <w:p w14:paraId="55B47B20" w14:textId="77777777" w:rsidR="00583A4D" w:rsidRPr="00583A4D" w:rsidRDefault="00583A4D" w:rsidP="00583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583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 </w:t>
      </w:r>
    </w:p>
    <w:p w14:paraId="07E4713D" w14:textId="77777777" w:rsidR="00583A4D" w:rsidRPr="00583A4D" w:rsidRDefault="00583A4D" w:rsidP="00583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583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nr. 120  din  21.05.2026</w:t>
      </w:r>
    </w:p>
    <w:p w14:paraId="61D8F93D" w14:textId="77777777" w:rsidR="00583A4D" w:rsidRPr="00583A4D" w:rsidRDefault="00583A4D" w:rsidP="00583A4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  <w:r w:rsidRPr="00583A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(în vigoare 01.01.2027)</w:t>
      </w:r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5BDE8F52" w14:textId="77777777" w:rsidR="00583A4D" w:rsidRPr="00583A4D" w:rsidRDefault="00583A4D" w:rsidP="00583A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042D27CA" w14:textId="77777777" w:rsidR="00583A4D" w:rsidRPr="00583A4D" w:rsidRDefault="00583A4D" w:rsidP="00583A4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Monitorul Oficial al R. Moldova nr. 221 art. 392 din 26.05.2026</w:t>
      </w:r>
    </w:p>
    <w:p w14:paraId="535C328B" w14:textId="77777777" w:rsidR="00583A4D" w:rsidRPr="00583A4D" w:rsidRDefault="00583A4D" w:rsidP="00583A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130BE740" w14:textId="77777777" w:rsidR="00583A4D" w:rsidRPr="00583A4D" w:rsidRDefault="00583A4D" w:rsidP="00583A4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* * *</w:t>
      </w:r>
    </w:p>
    <w:p w14:paraId="4AB3332E" w14:textId="77777777" w:rsidR="00583A4D" w:rsidRPr="00583A4D" w:rsidRDefault="00583A4D" w:rsidP="00583A4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583A4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UE</w:t>
      </w:r>
    </w:p>
    <w:p w14:paraId="57BF36A3" w14:textId="77777777" w:rsidR="00583A4D" w:rsidRPr="00583A4D" w:rsidRDefault="00583A4D" w:rsidP="00583A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În temeiul art.84 din Legea nr.202/2017 privind activitatea băncilor (Monitorul Oficial al Republicii Moldova, 2017, nr.434-439, art.727), cu modificările ulterioare, Comitetul executiv al Băncii </w:t>
      </w:r>
      <w:proofErr w:type="spellStart"/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Naţionale</w:t>
      </w:r>
      <w:proofErr w:type="spellEnd"/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a Moldovei</w:t>
      </w:r>
    </w:p>
    <w:p w14:paraId="5D9FFDA1" w14:textId="77777777" w:rsidR="00583A4D" w:rsidRPr="00583A4D" w:rsidRDefault="00583A4D" w:rsidP="00583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583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HOTĂRĂŞTE:</w:t>
      </w:r>
    </w:p>
    <w:p w14:paraId="5DD1F156" w14:textId="77777777" w:rsidR="00583A4D" w:rsidRPr="00583A4D" w:rsidRDefault="00583A4D" w:rsidP="00583A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Prezenta Hotărâre transpune </w:t>
      </w:r>
      <w:proofErr w:type="spellStart"/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parţial</w:t>
      </w:r>
      <w:proofErr w:type="spellEnd"/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art.5 (1) </w:t>
      </w:r>
      <w:proofErr w:type="spellStart"/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Anexa I din Regulamentul de punere în aplicare (UE) 2024/3117 al Comisiei din 29 noiembrie 2024 de stabilire a standardelor tehnice de punere în aplicare pentru aplicarea Regulamentului (UE) nr.575/2013 al Parlamentului European </w:t>
      </w:r>
      <w:proofErr w:type="spellStart"/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al Consiliului în ceea ce </w:t>
      </w:r>
      <w:proofErr w:type="spellStart"/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priveşte</w:t>
      </w:r>
      <w:proofErr w:type="spellEnd"/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raportarea în scopuri de supraveghere a </w:t>
      </w:r>
      <w:proofErr w:type="spellStart"/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instituţiilor</w:t>
      </w:r>
      <w:proofErr w:type="spellEnd"/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de abrogare a Regulamentului de punere în aplicare (UE) 2021/451 al Comisiei, publicat în Jurnalul Oficial al Uniunii Europene L din 27 decembrie 2024, CELEX: 32024R3117.</w:t>
      </w:r>
    </w:p>
    <w:p w14:paraId="5A246701" w14:textId="77777777" w:rsidR="00583A4D" w:rsidRPr="00583A4D" w:rsidRDefault="00583A4D" w:rsidP="00583A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583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1.</w:t>
      </w:r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Instrucţiunea</w:t>
      </w:r>
      <w:proofErr w:type="spellEnd"/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cu privire la prezentarea de către bănci a rapoartelor COREP în scopuri de supraveghere, aprobată prin Hotărârea Comitetului executiv al Băncii </w:t>
      </w:r>
      <w:proofErr w:type="spellStart"/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Naţionale</w:t>
      </w:r>
      <w:proofErr w:type="spellEnd"/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a Moldovei nr.117/2018 (Monitorul Oficial al Republicii Moldova, 2018, nr.183-194, art.907), înregistrată la Ministerul </w:t>
      </w:r>
      <w:proofErr w:type="spellStart"/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Justiţiei</w:t>
      </w:r>
      <w:proofErr w:type="spellEnd"/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al Republicii Moldova cu nr.1337/2018, cu modificările ulterioare, se modifică după cum urmează:</w:t>
      </w:r>
    </w:p>
    <w:p w14:paraId="41906762" w14:textId="77777777" w:rsidR="00583A4D" w:rsidRPr="00583A4D" w:rsidRDefault="00583A4D" w:rsidP="00583A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1.1. În clauza de armonizare:</w:t>
      </w:r>
    </w:p>
    <w:p w14:paraId="5BDAE228" w14:textId="77777777" w:rsidR="00583A4D" w:rsidRPr="00583A4D" w:rsidRDefault="00583A4D" w:rsidP="00583A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1.1.1. textul "C 25.00" </w:t>
      </w:r>
      <w:proofErr w:type="spellStart"/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textul "pct.5.6.2 </w:t>
      </w:r>
      <w:proofErr w:type="spellStart"/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pct.5.8.1" se exclud;</w:t>
      </w:r>
    </w:p>
    <w:p w14:paraId="77230446" w14:textId="77777777" w:rsidR="00583A4D" w:rsidRPr="00583A4D" w:rsidRDefault="00583A4D" w:rsidP="00583A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1.1.2. după textul "anexele X, XI, XII, XIII, XXII, XXIII, XXIV </w:t>
      </w:r>
      <w:proofErr w:type="spellStart"/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XXV din Regulamentul de punere în aplicare (UE) 2021/451 al Comisiei din 17 decembrie 2020 de stabilire a standardelor tehnice de punere în aplicare pentru aplicarea Regulamentului (UE) nr.575/2013 al Parlamentului European </w:t>
      </w:r>
      <w:proofErr w:type="spellStart"/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al Consiliului în ceea ce </w:t>
      </w:r>
      <w:proofErr w:type="spellStart"/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priveşte</w:t>
      </w:r>
      <w:proofErr w:type="spellEnd"/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raportarea în scopuri de supraveghere a </w:t>
      </w:r>
      <w:proofErr w:type="spellStart"/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instituţiilor</w:t>
      </w:r>
      <w:proofErr w:type="spellEnd"/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de abrogare a Regulamentului de punere în aplicare (UE) nr.680/2014, CELEX: 32021R0451, astfel cum a fost modificat ultima dată prin Regulamentul de punere în aplicare (UE) 2022/1994 al Comisiei din 21 noiembrie 2022" se completează cu textul "formularul raportului C25.01,";</w:t>
      </w:r>
    </w:p>
    <w:p w14:paraId="1567F947" w14:textId="77777777" w:rsidR="00583A4D" w:rsidRPr="00583A4D" w:rsidRDefault="00583A4D" w:rsidP="00583A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1.2. În capitolul I </w:t>
      </w:r>
      <w:proofErr w:type="spellStart"/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secţiunea</w:t>
      </w:r>
      <w:proofErr w:type="spellEnd"/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3 punctul 14 subpunctul 7), textul "formularul C 25" se substituie cu textul "formularul C 25.01";</w:t>
      </w:r>
    </w:p>
    <w:p w14:paraId="50D2D868" w14:textId="77777777" w:rsidR="00583A4D" w:rsidRPr="00583A4D" w:rsidRDefault="00583A4D" w:rsidP="00583A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1.3. Anexa 10 </w:t>
      </w:r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va avea următorul cuprins:</w:t>
      </w:r>
    </w:p>
    <w:p w14:paraId="622D75FD" w14:textId="77777777" w:rsidR="00583A4D" w:rsidRPr="00583A4D" w:rsidRDefault="00583A4D" w:rsidP="00583A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75AF8AA5" w14:textId="77777777" w:rsidR="00583A4D" w:rsidRPr="00583A4D" w:rsidRDefault="00583A4D" w:rsidP="00583A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035274A5" w14:textId="77777777" w:rsidR="00583A4D" w:rsidRPr="00583A4D" w:rsidRDefault="00583A4D" w:rsidP="00583A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0EC89617" w14:textId="77777777" w:rsidR="00583A4D" w:rsidRPr="00583A4D" w:rsidRDefault="00583A4D" w:rsidP="00583A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72421262" w14:textId="77777777" w:rsidR="00583A4D" w:rsidRPr="00583A4D" w:rsidRDefault="00583A4D" w:rsidP="00583A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7A3652D3" w14:textId="77777777" w:rsidR="00583A4D" w:rsidRPr="00583A4D" w:rsidRDefault="00583A4D" w:rsidP="00583A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5757E7AF" w14:textId="77777777" w:rsidR="00583A4D" w:rsidRPr="00583A4D" w:rsidRDefault="00583A4D" w:rsidP="00583A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189E8F73" w14:textId="77777777" w:rsidR="00583A4D" w:rsidRPr="00583A4D" w:rsidRDefault="00583A4D" w:rsidP="00583A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7B7D3063" w14:textId="77777777" w:rsidR="00583A4D" w:rsidRPr="00583A4D" w:rsidRDefault="00583A4D" w:rsidP="00583A4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sectPr w:rsidR="00583A4D" w:rsidRPr="00583A4D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3C4EFCA" w14:textId="77777777" w:rsidR="00583A4D" w:rsidRPr="00583A4D" w:rsidRDefault="00583A4D" w:rsidP="00583A4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583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lastRenderedPageBreak/>
        <w:t>Anexa 10</w:t>
      </w:r>
      <w:r w:rsidRPr="00583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1</w:t>
      </w:r>
    </w:p>
    <w:p w14:paraId="752FE256" w14:textId="77777777" w:rsidR="00583A4D" w:rsidRPr="00583A4D" w:rsidRDefault="00583A4D" w:rsidP="00583A4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la </w:t>
      </w:r>
      <w:proofErr w:type="spellStart"/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Instrucţiunea</w:t>
      </w:r>
      <w:proofErr w:type="spellEnd"/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cu privire la prezentarea</w:t>
      </w:r>
    </w:p>
    <w:p w14:paraId="490AE1CC" w14:textId="77777777" w:rsidR="00583A4D" w:rsidRPr="00583A4D" w:rsidRDefault="00583A4D" w:rsidP="00583A4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de către bănci a rapoartelor COREP</w:t>
      </w:r>
    </w:p>
    <w:p w14:paraId="41851FF5" w14:textId="77777777" w:rsidR="00583A4D" w:rsidRPr="00583A4D" w:rsidRDefault="00583A4D" w:rsidP="00583A4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în scopuri de supraveghere</w:t>
      </w:r>
    </w:p>
    <w:p w14:paraId="2B27D378" w14:textId="77777777" w:rsidR="00583A4D" w:rsidRPr="00583A4D" w:rsidRDefault="00583A4D" w:rsidP="00583A4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31E877CA" w14:textId="77777777" w:rsidR="00583A4D" w:rsidRPr="00583A4D" w:rsidRDefault="00583A4D" w:rsidP="00583A4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3E484804" w14:textId="77777777" w:rsidR="00583A4D" w:rsidRPr="00583A4D" w:rsidRDefault="00583A4D" w:rsidP="00583A4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583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Formularul raportului</w:t>
      </w:r>
    </w:p>
    <w:p w14:paraId="75FF8DCD" w14:textId="77777777" w:rsidR="00583A4D" w:rsidRPr="00583A4D" w:rsidRDefault="00583A4D" w:rsidP="00583A4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67EFF532" w14:textId="77777777" w:rsidR="00583A4D" w:rsidRPr="00583A4D" w:rsidRDefault="00583A4D" w:rsidP="00583A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583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Codul băncii</w:t>
      </w:r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____________________</w:t>
      </w:r>
    </w:p>
    <w:p w14:paraId="7B9E6596" w14:textId="77777777" w:rsidR="00583A4D" w:rsidRPr="00583A4D" w:rsidRDefault="00583A4D" w:rsidP="00583A4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583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Formular C 25.01</w:t>
      </w:r>
    </w:p>
    <w:p w14:paraId="06AC3750" w14:textId="77777777" w:rsidR="00583A4D" w:rsidRPr="00583A4D" w:rsidRDefault="00583A4D" w:rsidP="00583A4D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583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Perioada de raportare</w:t>
      </w:r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____________</w:t>
      </w:r>
    </w:p>
    <w:p w14:paraId="17D2A971" w14:textId="77777777" w:rsidR="00583A4D" w:rsidRPr="00583A4D" w:rsidRDefault="00583A4D" w:rsidP="00583A4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583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C 25.01 – Riscul de ajustare a evaluării creditului (CVA)</w:t>
      </w:r>
    </w:p>
    <w:p w14:paraId="07BB226E" w14:textId="77777777" w:rsidR="00583A4D" w:rsidRPr="00583A4D" w:rsidRDefault="00583A4D" w:rsidP="00583A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3130"/>
        <w:gridCol w:w="1460"/>
        <w:gridCol w:w="741"/>
        <w:gridCol w:w="897"/>
        <w:gridCol w:w="652"/>
        <w:gridCol w:w="1934"/>
        <w:gridCol w:w="741"/>
        <w:gridCol w:w="741"/>
        <w:gridCol w:w="1201"/>
        <w:gridCol w:w="808"/>
        <w:gridCol w:w="808"/>
        <w:gridCol w:w="945"/>
      </w:tblGrid>
      <w:tr w:rsidR="00583A4D" w:rsidRPr="00AF37FA" w14:paraId="4DC10E51" w14:textId="77777777" w:rsidTr="00AF37FA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24894A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B39F9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Valoarea expunerilor aferente riscului de credit al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contrapărţii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(CCR)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FF520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Cerinţe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de fonduri proprii pentru CCR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FACA6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Valoarea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noţională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32E46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CVA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supor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- </w:t>
            </w:r>
          </w:p>
          <w:p w14:paraId="7A70EBE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tată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15F3D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Tratamentul simplificat pentru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poziţiile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pe instrumente financiare derivate ale OPC-urilor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39A9D3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Abor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- </w:t>
            </w:r>
          </w:p>
          <w:p w14:paraId="5134C823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darea simpli-</w:t>
            </w:r>
          </w:p>
          <w:p w14:paraId="70EEC14D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ficată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7A97F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Abor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- </w:t>
            </w:r>
          </w:p>
          <w:p w14:paraId="0424B54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darea BA-CVA redusă</w:t>
            </w:r>
          </w:p>
        </w:tc>
        <w:tc>
          <w:tcPr>
            <w:tcW w:w="14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4B106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Abordarea BA-CVA integrală</w:t>
            </w:r>
          </w:p>
        </w:tc>
      </w:tr>
      <w:tr w:rsidR="00583A4D" w:rsidRPr="00AF37FA" w14:paraId="160A9529" w14:textId="77777777" w:rsidTr="00AF37FA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F1D89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CB7A9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E8C4A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8BEB5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91F10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1985A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Cerinţe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de fonduri proprii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290D2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Cerinţe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de fonduri proprii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EAF8C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Cerinţe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de fonduri proprii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5688B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Valoarea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noţională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a acoperirilor riscului CVA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C7A494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BACVA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csr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-fără acoperi- </w:t>
            </w:r>
          </w:p>
          <w:p w14:paraId="3801A24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BB2F79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BACVA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csr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-acoperi- </w:t>
            </w:r>
          </w:p>
          <w:p w14:paraId="7518F8D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re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0F3FA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Cerinţe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de fonduri proprii</w:t>
            </w:r>
          </w:p>
        </w:tc>
      </w:tr>
      <w:tr w:rsidR="00583A4D" w:rsidRPr="00AF37FA" w14:paraId="3AFBC5D0" w14:textId="77777777" w:rsidTr="00AF37FA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8FA0C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6D620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56347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28244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04B094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F6F01D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6653EA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AE0783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62D55A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9FB05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3CE0D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0100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8B16E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0110</w:t>
            </w:r>
          </w:p>
        </w:tc>
      </w:tr>
      <w:tr w:rsidR="00AF37FA" w:rsidRPr="00583A4D" w14:paraId="4348E7FA" w14:textId="77777777" w:rsidTr="00AF37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E0811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C663D2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Tranzacţii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care fac obiectul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cerinţei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de fonduri proprii pentru riscul CVA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F035CD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4CAA0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239CF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4A9D0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761C4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28E09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3CA4E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8ECD3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62AF23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E5ADE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4C544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AF37FA" w:rsidRPr="00583A4D" w14:paraId="43D24F88" w14:textId="77777777" w:rsidTr="00AF37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F83BA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159410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Din care: numai instrumente financiare derivate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DE2990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ED6DFA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A0E29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22963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E9E5D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2360E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49DBD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843B2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DDEB6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9DD7DD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6F31B3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AF37FA" w:rsidRPr="00583A4D" w14:paraId="2B22AA67" w14:textId="77777777" w:rsidTr="00AF37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41F463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496DF4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Din care: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tranzacţii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în mod normal exceptate, pe care băncile aleg să le 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lastRenderedPageBreak/>
              <w:t xml:space="preserve">reintegreze în calculul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cerinţelor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de fonduri proprii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0C0A60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F6CB7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E82564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EF37A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37091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638D4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2F5D7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21906D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AE522D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938B79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5A816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583A4D" w:rsidRPr="00583A4D" w14:paraId="7040A1D0" w14:textId="77777777" w:rsidTr="00AF37FA">
        <w:trPr>
          <w:jc w:val="center"/>
        </w:trPr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EFF96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ELEMENTE MEMORANDUM</w:t>
            </w:r>
          </w:p>
        </w:tc>
      </w:tr>
      <w:tr w:rsidR="00583A4D" w:rsidRPr="00583A4D" w14:paraId="138F760F" w14:textId="77777777" w:rsidTr="00AF37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8C92E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EBDEB6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Exceptări CVA: impactul marginal al reintegrării</w:t>
            </w:r>
          </w:p>
        </w:tc>
        <w:tc>
          <w:tcPr>
            <w:tcW w:w="3804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CBDAA3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F37FA" w:rsidRPr="00583A4D" w14:paraId="3B38710E" w14:textId="77777777" w:rsidTr="00AF37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B0E4E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4B633C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Toate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tranzacţiile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exceptate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2B00C4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C9357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1432E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F09AC3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6DE71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46EBF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D74CA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A582E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9BD40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20D60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C0603A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AF37FA" w:rsidRPr="00583A4D" w14:paraId="75FF1D22" w14:textId="77777777" w:rsidTr="00AF37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55F3B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736DDA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Tranzacţiile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clientului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4A0ADB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8F320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7FE2E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31A5F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B7F473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29E12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B06FDD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C0361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E720A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DBEDB9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3BAA3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AF37FA" w:rsidRPr="00583A4D" w14:paraId="3CB61C1B" w14:textId="77777777" w:rsidTr="00AF37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0D911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8332C9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Tranzacţii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cu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contrapărţi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nefinanciare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401B4A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63D0A9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4890A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E2256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C2500A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85652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85602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C5B43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9FA733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DE4E14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664D74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AF37FA" w:rsidRPr="00583A4D" w14:paraId="20A6A229" w14:textId="77777777" w:rsidTr="00AF37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60FDC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F5213F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Tranzacţii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doar cu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contrapărţi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nefinanciare din 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095930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AF3E1D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EE907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27F17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67B88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1ED96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870D6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19D8B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9CF74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C7E54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B3468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AF37FA" w:rsidRPr="00583A4D" w14:paraId="27C6A8A3" w14:textId="77777777" w:rsidTr="00AF37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A7B9F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950B1F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Tranzacţii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doar cu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contrapărţi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nefinanciare din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ţări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terţe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D8836C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3693F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D61F8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84408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AB731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6C596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AFC3C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F58114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65BE6D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470D1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CF60F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AF37FA" w:rsidRPr="00583A4D" w14:paraId="36CAE85C" w14:textId="77777777" w:rsidTr="00AF37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4039B4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F2629E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Tranzacţii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intragrup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BE1207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C66D1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53B6F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9EF0C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87F45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B54C4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3B184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1E49C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0070A4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EE234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CB9974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AF37FA" w:rsidRPr="00583A4D" w14:paraId="09F51750" w14:textId="77777777" w:rsidTr="00AF37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40D69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74DEB4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Tranzacţii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având drept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contrapărţi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fonduri de pensii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9091A8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30B3F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74238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84D3D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C04729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76B82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82815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A9892D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006C9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53F17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635D0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AF37FA" w:rsidRPr="00583A4D" w14:paraId="68B4CE4D" w14:textId="77777777" w:rsidTr="00AF37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8C00E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0B512C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Tranzacţii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cu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contrapărţi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suverane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35C1C1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56C88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56C9F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8EDF0D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0FB2CA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4ACAA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4D15E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4EF3D9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EDA213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6F8F5D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DBC22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AF37FA" w:rsidRPr="00583A4D" w14:paraId="04572927" w14:textId="77777777" w:rsidTr="00AF37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5B425A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0D637D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Acoperiri ale riscului CVA neincluse în domeniul de aplicare al CVA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AEA8B9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8B93DA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B3F973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756FCA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4E8F5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DEF41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46382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E5BD7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A22AAA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4B8A94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105343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AF37FA" w:rsidRPr="00583A4D" w14:paraId="4E8D24A1" w14:textId="77777777" w:rsidTr="00AF37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D281A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C4BE42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Total SFT-uri care nu sunt compensate la nivel central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şi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care sunt evaluate la valoarea justă în scopuri contabile, fără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tranzacţiile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exceptate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C3B49A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F474D9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33A13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BD9D6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4BE55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A8FBB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CC6FA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E4E01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74CA0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78922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8B501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583A4D" w:rsidRPr="00583A4D" w14:paraId="5286C1FC" w14:textId="77777777" w:rsidTr="00AF37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C3020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321366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Acoperiri ale riscului CVA</w:t>
            </w:r>
          </w:p>
        </w:tc>
        <w:tc>
          <w:tcPr>
            <w:tcW w:w="3804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1EFAC2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F37FA" w:rsidRPr="00583A4D" w14:paraId="31F16111" w14:textId="77777777" w:rsidTr="00AF37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CCD4C3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0B0C1D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CDS având la bază o singură semnătură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DC951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517EE9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7E706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AB4CB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AAFEA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F7C493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3D23E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9823D9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A4131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7E7D8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A37CA4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AF37FA" w:rsidRPr="00583A4D" w14:paraId="157344D0" w14:textId="77777777" w:rsidTr="00AF37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259994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81726D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CDS bazate pe indici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0F60CA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01112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FB0BE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05ADB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E5E97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399B7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0D46F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678649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97666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3F522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3EB35A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AF37FA" w:rsidRPr="00583A4D" w14:paraId="140E81B4" w14:textId="77777777" w:rsidTr="00AF37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238D1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E9A286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Alte instrumente financiare derivate clasificate drept acoperiri ale riscului CVA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0CB45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7041C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98620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F4C41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13666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4CFC5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78D3B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6006D3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F2AE9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20737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FAF82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583A4D" w:rsidRPr="00583A4D" w14:paraId="27132DAF" w14:textId="77777777" w:rsidTr="00AF37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929D34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A590F6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Tipuri de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tranzacţii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cu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contrapărţi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supuse abordării SA-CVA</w:t>
            </w:r>
          </w:p>
        </w:tc>
        <w:tc>
          <w:tcPr>
            <w:tcW w:w="3804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B6E244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F37FA" w:rsidRPr="00583A4D" w14:paraId="34B06123" w14:textId="77777777" w:rsidTr="00AF37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CC6A7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lastRenderedPageBreak/>
              <w:t>0170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1D338B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Bănci centrale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4F2CF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7C046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C197A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E35F9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D63A9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92381A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7F0C5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09701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1D562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7EFA8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5CBC4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AF37FA" w:rsidRPr="00583A4D" w14:paraId="53BF0570" w14:textId="77777777" w:rsidTr="00AF37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8B580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BCD5FE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Administraţii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publice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6A35D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A00DE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4376B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2D61A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083F74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76FB5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941269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934AF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B0CE0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DE02D9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1FF9CD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AF37FA" w:rsidRPr="00583A4D" w14:paraId="58A5BE43" w14:textId="77777777" w:rsidTr="00AF37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407CF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07036B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Bănci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1B0B1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856EC9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F7F16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F4FB33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5593E4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176CC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B56ED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6A897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29A0F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11A0D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5421EA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AF37FA" w:rsidRPr="00583A4D" w14:paraId="334A99D2" w14:textId="77777777" w:rsidTr="00AF37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80E94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8239F0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Firme de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investiţii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F56A4D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FBFC1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01E7D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2766B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9C4509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1139D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E4E99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E107D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F6845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40EC0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AAC4B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AF37FA" w:rsidRPr="00583A4D" w14:paraId="27108725" w14:textId="77777777" w:rsidTr="00AF37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FBDD3D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633FBC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Alte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societăţi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financiare (excluzând firmele de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investiţii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90C93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842C7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AB3AE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00AAE9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A9561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582843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0D7AD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2F590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77858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4BB05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B7E673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AF37FA" w:rsidRPr="00583A4D" w14:paraId="07D92234" w14:textId="77777777" w:rsidTr="00AF37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1D673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0D7B7A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Societăţi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nefinanciare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46D0A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BEC47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8425E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AF07E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CFF659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2A99B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57ABBD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645C9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40A1A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87A37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96236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AF37FA" w:rsidRPr="00583A4D" w14:paraId="4A608057" w14:textId="77777777" w:rsidTr="00AF37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01DB1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3DDB2A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Agregarea componentelor sistematice ale riscului CVA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0DB8B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752CB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420EBA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3BB4B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916EDA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56AA3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CDC88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9342E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7B7469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2DB2B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2DF6C4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AF37FA" w:rsidRPr="00583A4D" w14:paraId="13665DF2" w14:textId="77777777" w:rsidTr="00AF37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2859DA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0BEEA3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Agregarea componentelor nesistematice ale riscului CVA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CED98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7BE2B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B4613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0153D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F9498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876AC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185C3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96707D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664253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0B5EF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470A63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</w:tbl>
    <w:p w14:paraId="592EC8A1" w14:textId="77777777" w:rsidR="00583A4D" w:rsidRPr="00583A4D" w:rsidRDefault="00583A4D" w:rsidP="00583A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72D3BFC5" w14:textId="77777777" w:rsidR="00583A4D" w:rsidRPr="00583A4D" w:rsidRDefault="00583A4D" w:rsidP="00583A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583A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Continuare coloane</w:t>
      </w:r>
    </w:p>
    <w:tbl>
      <w:tblPr>
        <w:tblW w:w="475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"/>
        <w:gridCol w:w="1676"/>
        <w:gridCol w:w="878"/>
        <w:gridCol w:w="816"/>
        <w:gridCol w:w="673"/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  <w:gridCol w:w="652"/>
        <w:gridCol w:w="694"/>
        <w:gridCol w:w="694"/>
        <w:gridCol w:w="591"/>
      </w:tblGrid>
      <w:tr w:rsidR="00583A4D" w:rsidRPr="00583A4D" w14:paraId="35DB23FC" w14:textId="77777777" w:rsidTr="00583A4D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70EF5D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9B93E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Abordarea SA-CVA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8706CD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Cerinţe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totale de fonduri proprii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1CAB2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Cuan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- </w:t>
            </w:r>
          </w:p>
          <w:p w14:paraId="67DFF334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tumul total al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expu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-</w:t>
            </w:r>
          </w:p>
          <w:p w14:paraId="1581F68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nerii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la risc</w:t>
            </w:r>
          </w:p>
        </w:tc>
      </w:tr>
      <w:tr w:rsidR="00583A4D" w:rsidRPr="00583A4D" w14:paraId="47ACD411" w14:textId="77777777" w:rsidTr="00583A4D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041F4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EF0B74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Valoarea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noţională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a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acope-ririlor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împotriva riscului CVA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97248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Numărul de contra- </w:t>
            </w:r>
          </w:p>
          <w:p w14:paraId="1D6027A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părţi</w:t>
            </w:r>
            <w:proofErr w:type="spellEnd"/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DE13C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Cerinţele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de fonduri proprii pentru seturile de compensare conform abordării SA-CVA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A87DA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EA0FEA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Cerinţe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de fonduri proprii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17B72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98C6C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583A4D" w:rsidRPr="00AF37FA" w14:paraId="64675F55" w14:textId="77777777" w:rsidTr="00583A4D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058EE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08A9D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26EF2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E6FF73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Riscul ratei dobânzii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E2A7D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Riscul valutar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4D740A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Marja de credit a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contrapărţii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697F6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Marja de credit de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referinţă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4A1944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Devalorizarea titlurilor de capital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B8270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Mărfuri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BE5C3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mCVA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54D13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AC598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B1D14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583A4D" w:rsidRPr="00AF37FA" w14:paraId="4FA10C51" w14:textId="77777777" w:rsidTr="00583A4D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11C43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6351E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0A6A0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D5231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Riscuri delta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AFF07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Riscuri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vega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A8C72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Riscuri delta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ED907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Riscuri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vega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CC08E3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Riscuri delta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7DB64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Riscuri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vega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C64BB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Riscuri delta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525184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Riscuri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vega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0DFFB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Riscuri delta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188D69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Riscuri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vega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F5E53D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Riscuri delta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683BE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Riscuri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vega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E4E6E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39939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9C938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934F3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583A4D" w:rsidRPr="00AF37FA" w14:paraId="30C9453B" w14:textId="77777777" w:rsidTr="00583A4D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62688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51BCF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CC391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B7C309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C1FE6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4A3A0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A0A1E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706E84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4C95F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231B8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E3ACE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6C45B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BAB793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214A4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2AA73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5E79C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73482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A3A6C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4128D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0290</w:t>
            </w:r>
          </w:p>
        </w:tc>
      </w:tr>
      <w:tr w:rsidR="00583A4D" w:rsidRPr="00583A4D" w14:paraId="1F9FE050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71C30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5387D0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Tranzacţii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care fac obiectul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cerinţei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de fonduri proprii pentru riscul CVA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8DE6B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D9D8F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667D89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EAD4E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F562A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D5786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77FC6D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1BBD9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45E59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8666A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1C7AAA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9ACAD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64670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D272D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8C1AB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E8AC74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2CA1CD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481023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583A4D" w:rsidRPr="00583A4D" w14:paraId="4D621581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6D2F7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C37A65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Din care: instrumente financiare derivate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3B401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15C20A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C1C8C3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3F8D1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15C584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4717F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6F55B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38386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D8A8F9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D74554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8B7E6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7E36C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082A9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56A29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A9776A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570C8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895E8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FD458D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583A4D" w:rsidRPr="00583A4D" w14:paraId="729678D7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DFC33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lastRenderedPageBreak/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4FF3AA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Din care: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tranzacţii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în mod normal exceptate, pe care băncile aleg să le reintegreze în calculul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cerinţelor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de fonduri proprii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43717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64984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31CE0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B9C944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6B370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2AF529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0C1C34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A2EFE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DA31E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B8712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DA055D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0CA7F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9466C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37B509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2904D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AAAB0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6F207A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3DBD5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583A4D" w:rsidRPr="00583A4D" w14:paraId="46C9186D" w14:textId="77777777" w:rsidTr="00583A4D">
        <w:trPr>
          <w:jc w:val="center"/>
        </w:trPr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A6CB1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ELEMENTE MEMORANDUM</w:t>
            </w:r>
          </w:p>
        </w:tc>
      </w:tr>
      <w:tr w:rsidR="00583A4D" w:rsidRPr="00583A4D" w14:paraId="0162CCFA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BAF1DA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DD1362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Exceptări CVA: impactul marginal al reintegrării</w:t>
            </w:r>
          </w:p>
        </w:tc>
        <w:tc>
          <w:tcPr>
            <w:tcW w:w="0" w:type="auto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3D729D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583A4D" w:rsidRPr="00583A4D" w14:paraId="6217B101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5E416D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00CBB1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Toate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tranzacţiile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exceptate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93031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EB6A1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52E10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8FCB7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7D931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807A53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E198F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B7361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A401AD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E12F8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E9142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B7DCC9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9DEE13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C344B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2F027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7E194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9C52F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26D073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583A4D" w:rsidRPr="00583A4D" w14:paraId="7D77E0E2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EE5C7D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5EFB2D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Tranzacţiile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clientului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D6F06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D1470D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9FC14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C758F3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AC4209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6E325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8E93CA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C8983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83EB5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E84A63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7A936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74BAC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2ECD6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8A78C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474E84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9C05F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9D3FFA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AC2799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583A4D" w:rsidRPr="00583A4D" w14:paraId="0F6A3ACE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FB492A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32D542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Tranzacţii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cu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contrapărţi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nefinanciare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2C085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48B06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A3F4C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F220DA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E32BA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0D908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6FAC5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328E9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963284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1CDA1A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E803B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E36F6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34A54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B60BF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F67EF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70A69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B49E64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2D358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583A4D" w:rsidRPr="00583A4D" w14:paraId="14E09B32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5EB95D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FA1E65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Tranzacţii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cu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contrapărţi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nefinanciare din 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6CDB0A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1BDA0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87749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90940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8CB6B4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49D429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5CE849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48059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0C7B1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DA91B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1434E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3F4B14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30161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CC0FF9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8DB653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985329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BB30E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4FBBB3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583A4D" w:rsidRPr="00583A4D" w14:paraId="1717B852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AE867D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6A1B29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Tranzacţii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cu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contrapărţi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nefinanciare din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ţări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terţe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A0E51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824E9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0EEF8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079F4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76381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52A744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E7BE89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8557A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8058E4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DEF7A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CF667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9A777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E5C55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D1059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CFF09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4D5A99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996A9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9ACF83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583A4D" w:rsidRPr="00583A4D" w14:paraId="6D53E4CE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06F29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9450D0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Tranzacţii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intragrup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ECEE83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87053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DFB87D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B5856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CA985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43A4C9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15A90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02750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50F85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55120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A1754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1C08D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8D06B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475AB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6F2BB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EBF4A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156BE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DA6B5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583A4D" w:rsidRPr="00583A4D" w14:paraId="7DF6E3E3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7D9FA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61D9CC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Tranzacţii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având drept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contrapărţi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fonduri de pensii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ED600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8A664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829B4A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8C5C7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C53C3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A4002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A65014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5AD16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212B5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88CCA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1EE10D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ACA223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D500A3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866AF3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C197F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EF8E3D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3073C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D68D4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583A4D" w:rsidRPr="00583A4D" w14:paraId="7BE8046B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91687D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6241F9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Tranzacţii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cu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contrapărţi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suverane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89E0F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897413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36C3C9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01C969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98C7B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329A03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4B3989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EB0B7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22E39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82D7A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97DE6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3D2E13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1D825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1F268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16668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68468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674C4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E68E2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583A4D" w:rsidRPr="00583A4D" w14:paraId="509946A7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FE7B0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lastRenderedPageBreak/>
              <w:t>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C37711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Acoperiri ale riscului CVA neincluse în domeniul de aplicare al CVA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BB9CBF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790F8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54594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F0A51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FB6AF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42270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E0B12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F81A8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1F6BB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7412E3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056C4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17A32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DAF453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DBD00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C82EAD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B37B0A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840074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12497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583A4D" w:rsidRPr="00583A4D" w14:paraId="3A0854B6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384824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344DE4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Total SFT-uri care nu sunt compensate la nivel central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şi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care sunt evaluate la valoarea justă în scopuri contabile, fără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tranzacţiile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exceptate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9D023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6BB2E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BB327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8BE45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C285C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94519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0B875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54F5B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6456A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5C722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94DC5A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D61E6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59D1C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D1902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938E8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D03FB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2830F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EA0D2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583A4D" w:rsidRPr="00583A4D" w14:paraId="55EED160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A68A2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0FEC2A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Acoperiri ale riscului CVA</w:t>
            </w:r>
          </w:p>
        </w:tc>
        <w:tc>
          <w:tcPr>
            <w:tcW w:w="0" w:type="auto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E3DF00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583A4D" w:rsidRPr="00583A4D" w14:paraId="2D6FBC68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E3299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BE6369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CDS având la bază o singură semnătură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F894C7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7063C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B04F5D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E1719D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D04AC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D2B89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FF9CE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33C21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A969E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4FDD2A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E47AF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4EF09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70789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CE370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210384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90DD5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88D66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953DC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583A4D" w:rsidRPr="00583A4D" w14:paraId="5530AFD1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9BB5B4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967EA7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CDS bazate pe indici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85925B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4C5DB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B2FE5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D4C599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AD3E9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46458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E6016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D03FC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2AB49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5DF66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C3353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DE8B94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9D708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F1C02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64A5D4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3A88D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9F6264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8E4D1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583A4D" w:rsidRPr="00583A4D" w14:paraId="20EBBF83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D5C8C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85658B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Alte instrumente financiare derivate clasificate drept acoperiri ale riscului CVA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95761C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E110A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49841A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5DCFA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F5382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78FAC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3880E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B4E52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C7992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4A54E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A86B4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2752B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9CEF8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9CE42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EA9B0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49CE4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7B743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26A743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583A4D" w:rsidRPr="00583A4D" w14:paraId="473E5641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1EB5F9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37B978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Tipuri de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tranzacţii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cu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contrapărţi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supuse abordării SA-CVA</w:t>
            </w:r>
          </w:p>
        </w:tc>
        <w:tc>
          <w:tcPr>
            <w:tcW w:w="0" w:type="auto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D30A48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583A4D" w:rsidRPr="00583A4D" w14:paraId="0A8B8956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7FDD3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57875C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Bănci centrale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F0CD9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0B9C0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6D9CA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1F598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BB80D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4A934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01804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A23FEA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7AC8FA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7CF7E9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3F7E5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DF6BA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31FCF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C1C5DA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D0127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602F2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FDA43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90A80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583A4D" w:rsidRPr="00583A4D" w14:paraId="07213705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206BD4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D577B6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Administraţii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publice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5E56D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3621CA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BB184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9E2F3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86DE6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0FB5F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C4B1AD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E117B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5851A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40482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1D08F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EE9F7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684BB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2D306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A79EF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8B1E3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12D06A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D24154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583A4D" w:rsidRPr="00583A4D" w14:paraId="0B117A7D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4865E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lastRenderedPageBreak/>
              <w:t>0190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7A1368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Bănci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47310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2FE45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584D9A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A5DEE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65AC4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8EB72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15E03D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48420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1AC7E9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7411B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D915D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27A9F4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AFCF1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A9140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7131F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97CFF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12FA4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180F5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583A4D" w:rsidRPr="00583A4D" w14:paraId="13D58713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94C6E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9E8BCB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Firme de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investiţii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65AD5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B8684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846A8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F823A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7D5AC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1016E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4A6B03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F8318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91B16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50C68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DD867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7C06A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1910B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A2E53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414E2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60AED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218664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2D7B0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583A4D" w:rsidRPr="00583A4D" w14:paraId="024E608A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AB9AF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652FB4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Alte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societăţi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financiare (excluzând firmele de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investiţii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E3DFC9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0D193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8DC5E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EDDDC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60D67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1019D3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BB8CE4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18ED7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5B5BD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DEAD2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A69D6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F103C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2BE70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4BC92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71629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E0315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D0D0E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EC38DD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583A4D" w:rsidRPr="00583A4D" w14:paraId="67C59B5A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DA312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9B6BCC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Societăţi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nefinanciare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83536A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23EF5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A18A5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43F14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8B54C9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40546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F29B6D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41A4C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5C1E39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002AC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75E55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ED0F2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6B3A5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AACA8A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28F84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C9CE6D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01179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F20C1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583A4D" w:rsidRPr="00583A4D" w14:paraId="2E91DF41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E5A7D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65666E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Agregarea componentelor sistematice ale riscului CVA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177D0D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25359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84A6FD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06EAE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6FC76A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41F94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044B5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CA434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85023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B2F3FD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46FBFD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3DF2E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9C412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7CB96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E199C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D4833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B9AED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7639B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  <w:tr w:rsidR="00583A4D" w:rsidRPr="00583A4D" w14:paraId="4A6F6EC4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2E810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19B1A7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Agregarea componentelor nesistematice ale riscului CVA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C13D0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4EAB4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0DA10D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E85CE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40980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143DE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976AB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E6816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FEC419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B5ED1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5473E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F02143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39033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3C78B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F0FA39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BC377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A7E8F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A1B37D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X</w:t>
            </w:r>
          </w:p>
        </w:tc>
      </w:tr>
    </w:tbl>
    <w:p w14:paraId="2FF9436D" w14:textId="77777777" w:rsidR="00583A4D" w:rsidRPr="00583A4D" w:rsidRDefault="00583A4D" w:rsidP="00583A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0CB63A55" w14:textId="77777777" w:rsidR="00583A4D" w:rsidRPr="00583A4D" w:rsidRDefault="00583A4D" w:rsidP="00583A4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sectPr w:rsidR="00583A4D" w:rsidRPr="00583A4D" w:rsidSect="00583A4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br w:type="page"/>
      </w:r>
    </w:p>
    <w:p w14:paraId="089C677F" w14:textId="77777777" w:rsidR="00583A4D" w:rsidRPr="00583A4D" w:rsidRDefault="00583A4D" w:rsidP="00583A4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583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lastRenderedPageBreak/>
        <w:t>Modul de completare a raportului</w:t>
      </w:r>
    </w:p>
    <w:p w14:paraId="733B1DC5" w14:textId="77777777" w:rsidR="00583A4D" w:rsidRPr="00583A4D" w:rsidRDefault="00583A4D" w:rsidP="00583A4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583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C 25.01 Riscul de ajustare a evaluării creditului (CVA)</w:t>
      </w:r>
    </w:p>
    <w:p w14:paraId="3DF1F5F8" w14:textId="77777777" w:rsidR="00583A4D" w:rsidRPr="00583A4D" w:rsidRDefault="00583A4D" w:rsidP="00583A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0675F80D" w14:textId="77777777" w:rsidR="00583A4D" w:rsidRPr="00583A4D" w:rsidRDefault="00583A4D" w:rsidP="00583A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proofErr w:type="spellStart"/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Instrucţiuni</w:t>
      </w:r>
      <w:proofErr w:type="spellEnd"/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privind </w:t>
      </w:r>
      <w:proofErr w:type="spellStart"/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poziţii</w:t>
      </w:r>
      <w:proofErr w:type="spellEnd"/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specifice</w:t>
      </w:r>
    </w:p>
    <w:p w14:paraId="76B9ACBD" w14:textId="77777777" w:rsidR="00583A4D" w:rsidRPr="00583A4D" w:rsidRDefault="00583A4D" w:rsidP="00583A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5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"/>
        <w:gridCol w:w="6996"/>
        <w:gridCol w:w="672"/>
      </w:tblGrid>
      <w:tr w:rsidR="00583A4D" w:rsidRPr="00583A4D" w14:paraId="6BFCAB38" w14:textId="77777777" w:rsidTr="00583A4D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24BA5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Coloane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0D2978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</w:tc>
      </w:tr>
      <w:tr w:rsidR="00583A4D" w:rsidRPr="00583A4D" w14:paraId="12C6CE4E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41804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E1E94D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Valoarea expunerilor aferente riscului de credit al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contrapărţii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(CCR)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  <w:t xml:space="preserve">Valoarea expunerilor aferente CCR calculată în conformitate cu metodele prevăzute în Regulamentul nr.112/2018 cu privire la tehnicile de diminuare a riscului de credit utilizate de bănci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şi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Regulamentul nr.220/2025 cu privire la tratamentul riscului de credit al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contrapărţii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pentru bănci.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BFDE7B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004E134E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E553F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D2E519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Cerinţe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de fonduri proprii pentru CCR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Cerinţe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de fonduri proprii pentru CCR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ABDD1A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221AA41D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473754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2280DD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Valoare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noţională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  <w:t xml:space="preserve">Suma valorilor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noţionale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pentru instrumentele financiare derivate înainte de orice compensare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şi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fără ajustări în conformitate cu prevederile Regulamentului nr.220/2025 cu privire la tratamentul riscului de credit al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contrapărţii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pentru bănci.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B65D00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0EABCE3E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16C193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0D2AD3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CVA suportată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  <w:t xml:space="preserve">Provizioane contabile ca urmare a scăderii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bonităţii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contrapărţilor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pentru instrumentele financiare derivate.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30B565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2EE75E04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13DF3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680246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Tratament simplificat pentru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poziţiile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pe instrumente financiare derivate ale OPC-urilor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Cerinţele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de fonduri proprii pentru CVA, calculate în conformitate cu tratamentul simplificat pentru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poziţiile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pe instrumente financiare derivate ale OPC-urilor definite în Regulamentul nr.111/2018 cu privire la tratamentul riscului de credit pentru bănci potrivit abordării standardizate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şi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Regulamentul nr.114/2018 cu privire la tratamentul riscului de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piaţă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potrivit abordării standardizate.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2C0C79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252BE3E0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0E940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526CF9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Abordarea simplificată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Cerinţe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de fonduri proprii pentru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tranzacţiile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care fac obiectul abordării simplificate prevăzute la punctele 116-118 din Regulamentul cu privire la tratamentul riscului de ajustare a evaluării creditului pentru bănci.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2B5369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46403D59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D1BE4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7C67BA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Abordarea BA-CVA redusă (Abordarea de bază pentru CVA redusă)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Cerinţele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de fonduri proprii pentru riscul CVA, calculate în conformitate cu punctul 115 din Regulamentul cu privire la tratamentul riscului de ajustare a evaluării creditului pentru bănci, pentru banca care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îndeplineşte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condiţia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prevăzută la subpunctul 113.2. din Regulamentul cu privire la tratamentul riscului de ajustare a evaluării creditului pentru bănci.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A4398A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681279E7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7E4D7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0080-0110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6F52D4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Abordarea BA-CVA integrală (Abordarea de bază pentru CVA integrală)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Cerinţele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de fonduri proprii pentru riscul CVA, calculate în conformitate cu punctul 114 din Regulamentul cu privire la tratamentul riscului de ajustare a evaluării creditului pentru bănci, pentru banca care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îndeplineşte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condiţia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prevăzută la subpunctul 113.1. din 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lastRenderedPageBreak/>
              <w:t>Regulamentul cu privire la tratamentul riscului de ajustare a evaluării creditului pentru bănci.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C9857A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29E58962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DB71E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AE773A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Valoare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noţională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a acoperirilor pentru riscul CVA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  <w:t xml:space="preserve">Valoare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noţională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a acoperirilor eligibile CVA (sume brute) recunoscute în conformitate cu punctele 119-124 din Regulamentul cu privire la tratamentul riscului de ajustare a evaluării creditului pentru bănci.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20B5A6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03B99305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D4338A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CA2527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BA-CVA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vertAlign w:val="superscript"/>
                <w:lang w:eastAsia="ro-MD"/>
                <w14:ligatures w14:val="none"/>
              </w:rPr>
              <w:t>csr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vertAlign w:val="superscript"/>
                <w:lang w:eastAsia="ro-MD"/>
                <w14:ligatures w14:val="none"/>
              </w:rPr>
              <w:t>-fără</w:t>
            </w: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vertAlign w:val="superscript"/>
                <w:lang w:eastAsia="ro-MD"/>
                <w14:ligatures w14:val="none"/>
              </w:rPr>
              <w:t>acoperire</w:t>
            </w: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  <w:t>BA-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CVA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o-MD"/>
                <w14:ligatures w14:val="none"/>
              </w:rPr>
              <w:t>csr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o-MD"/>
                <w14:ligatures w14:val="none"/>
              </w:rPr>
              <w:t>-fără acoperire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pentru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tranzacţiile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supuse abordării de bază, calculate în conformitate cu punctul 115 din Regulamentul cu privire la tratamentul riscului de ajustare a evaluării creditului pentru bănci, pentru banca care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îndeplineşte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condiţia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prevăzută la subpunctul 113.2. din Regulamentul cu privire la tratamentul riscului de ajustare a evaluării creditului pentru bănci.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0011DA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471407C8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49CA7D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E9BC36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Acoperit cu BA-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CVA</w:t>
            </w: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vertAlign w:val="superscript"/>
                <w:lang w:eastAsia="ro-MD"/>
                <w14:ligatures w14:val="none"/>
              </w:rPr>
              <w:t>csr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vertAlign w:val="superscript"/>
                <w:lang w:eastAsia="ro-MD"/>
                <w14:ligatures w14:val="none"/>
              </w:rPr>
              <w:t>-acoperire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  <w:t xml:space="preserve">BA-CVA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vertAlign w:val="superscript"/>
                <w:lang w:eastAsia="ro-MD"/>
                <w14:ligatures w14:val="none"/>
              </w:rPr>
              <w:t>csr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vertAlign w:val="superscript"/>
                <w:lang w:eastAsia="ro-MD"/>
                <w14:ligatures w14:val="none"/>
              </w:rPr>
              <w:t>-acoperire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pentru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tranzacţiile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supuse abordării de bază, calculată în conformitate cu punctul 114 din Regulamentul cu privire la tratamentul riscului de ajustare a evaluării creditului pentru bănci, pentru banca care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îndeplineşte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condiţia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prevăzută la subpunctul 113.1. din Regulamentul cu privire la tratamentul riscului de ajustare a evaluării creditului pentru bănci.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E609D5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4507FF07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7B6C4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F4E955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Cerinţe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de fonduri proprii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Cerinţele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de fonduri proprii pentru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tranzacţiile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supuse abordării de bază integrale, calculate în conformitate cu punctul 114 din Regulamentul cu privire la tratamentul riscului de ajustare a evaluării creditului pentru bănci, pentru banca care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îndeplineşte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condiţia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prevăzută la subpunctul 113.1. din Regulamentul cu privire la tratamentul riscului de ajustare a evaluării creditului pentru bănci.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A8350C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30C56BE1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CF782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0120-0270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412404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Abordarea</w:t>
            </w: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SA-CVA (abordarea standardizată pentru CVA)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Cerinţele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de fonduri proprii pentru riscul CVA, calculate în conformitate cu punctele 17-20 din Regulamentul cu privire la tratamentul riscului de ajustare a evaluării creditului pentru bănci, pentru banca care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îndeplineşte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condiţia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prevăzută la subpunctul 11.1. din Regulamentul cu privire la tratamentul riscului de ajustare a evaluării creditului pentru bănci.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0FA1F7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1F465422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C866D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1E0040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Valoarea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noţională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a acoperirilor împotriva riscului CVA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  <w:t xml:space="preserve">Valoarea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noţională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a acoperirilor împotriva riscului CVA eligibile recunoscute în conformitate cu punctele 119-124 din Regulamentul cu privire la tratamentul riscului de ajustare a evaluării creditului pentru bănci.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FC6F4A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4BC1E5F3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1665B4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48A3ED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Numărul de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contrapărţi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  <w:t xml:space="preserve">Numărul de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contrapărţi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astfel cum sunt definite în punctele 17-19 din Regulamentul cu privire la tratamentul riscului de ajustare a evaluării creditului pentru bănci, incluse în calculul fondurilor proprii pentru riscul SA-CVA. Numărul total se raportează pe rândul 0010, iar defalcarea pe tipuri de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contraparte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pe rândurile 0170-0220.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C58668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42486358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9F6E8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0140-0250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5FDCF3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Cerinţe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de fonduri proprii pentru seturi de compensare conform abordării SA-CVA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Cerinţe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de fonduri proprii pentru riscul SA-CVA în conformitate cu punctele 17-20 din Regulamentul cu privire la tratamentul riscului de 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lastRenderedPageBreak/>
              <w:t xml:space="preserve">ajustare a evaluării creditului pentru bănci, pentru banca, inclusiv o defalcare pe clase de risc, astfel cum sunt definite în punctul 3 din Regulamentul cu privire la tratamentul riscului de ajustare a evaluării creditului pentru bănci, pentru banca,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şi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pentru fiecare dintre clasele de risc,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cerinţele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de fonduri proprii pentru riscurile delta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şi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vega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astfel cum este prevăzut la punctul 20 din Regulamentul cu privire la tratamentul riscului de ajustare a evaluării creditului pentru bănci pentru banca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şi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în conformitate cu punctele 28-40 din Regulamentul cu privire la tratamentul riscului de ajustare a evaluării creditului pentru bănci, pentru banca.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AC410D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33CB5960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17F5B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0140-0150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3A6A03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Cerinţe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de fonduri proprii pentru riscul ratei dobânzii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  <w:t>Prevederile punctelor 41-49, 63-78 din Regulamentul cu privire la tratamentul riscului de ajustare a evaluării creditului pentru bănci.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01CABB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0464AC95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3091D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0160-0170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58AAE5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Cerinţe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de fonduri proprii pentru riscul valutar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  <w:t>Prevederile punctelor 50-52, 63-69, 79-84 din Regulamentul cu privire la tratamentul riscului de ajustare a evaluării creditului pentru bănci.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A0E457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5282F443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3D94D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0180-0190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83C53C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Cerinţe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de fonduri proprii pentru riscul de marjă de credit a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contrapărţii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  <w:t>Prevederile punctelor 53-54, 63-69, 85-92 din Regulamentul cu privire la tratamentul riscului de ajustare a evaluării creditului pentru bănci.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32736D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742E2A6E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E19C1D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0200-0210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2EBBFB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Cerinţe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de fonduri proprii pentru riscul de marjă de credit de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referinţă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  <w:t>Prevederile punctelor 55-56, 63-69, 93-97, 101-102 din Regulamentul cu privire la tratamentul riscului de ajustare a evaluării creditului pentru bănci.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EE75E8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3B06A29E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1EC66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0220-0230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AE54C7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Cerinţe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de fonduri proprii pentru</w:t>
            </w: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riscul de devalorizare a titlurilor de capital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  <w:t>Prevederile punctelor 57-59, 63-69, 103-108 din Regulamentul cu privire la tratamentul riscului de ajustare a evaluării creditului pentru bănci.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F73DB2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55F5CA8C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994FC8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0240-0250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9670F6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Cerinţe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de fonduri proprii pentru riscul de mărfuri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  <w:t>Prevederile punctelor 60-62, 63-69, 109-112 din Regulamentul cu privire la tratamentul riscului de ajustare a evaluării creditului pentru bănci.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788E3F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75C29753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68378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26E147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vertAlign w:val="superscript"/>
                <w:lang w:eastAsia="ro-MD"/>
                <w14:ligatures w14:val="none"/>
              </w:rPr>
              <w:t>m</w:t>
            </w: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CVA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  <w:t xml:space="preserve">Valoarea factorului multiplicator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o-MD"/>
                <w14:ligatures w14:val="none"/>
              </w:rPr>
              <w:t>m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CVA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  în conformitate cu punctul 40 din Regulamentul cu privire la tratamentul riscului de ajustare a evaluării creditului pentru bănci. Se raportează valoarea utilizată la calcularea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cerinţelor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de fonduri proprii (valoare egală cu 1 sau valoare majorată de Banca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Naţională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a Moldovei).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9D3337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4B172907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343CE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10ECD8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Cerinţe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de fonduri proprii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Cerinţe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de fonduri proprii pentru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tranzacţiile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supuse SA-CVA calculate în conformitate cu punctele 17-20 din Regulamentul cu privire la tratamentul riscului de ajustare a evaluării creditului pentru bănci.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5AD12B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229497ED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8DC0D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2AF283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CERINŢE TOTALE DE FONDURI PROPRII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  <w:t xml:space="preserve">Totalul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cerinţelor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de fonduri proprii pentru riscul CVA calculat utilizând oricare dintre abordările aplicabile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menţionate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la punctele 11-16 din Regulamentul cu privire la tratamentul riscului de ajustare a evaluării creditului pentru bănci. În cazul în care se aplică mai multe 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lastRenderedPageBreak/>
              <w:t xml:space="preserve">abordări, se raportează suma simplă a tuturor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cerinţelor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de fonduri proprii ale fiecărei abordări.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A6443C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6CB2DC49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9528A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465CED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CUANTUMUL TOTAL AL EXPUNERII LA RISC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Cerinţe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de fonduri proprii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înmulţite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cu 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67AF09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09C775E9" w14:textId="77777777" w:rsidTr="00583A4D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B9CB9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Rânduri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C334A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54A988C1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03289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37E9A3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Tranzacţii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care fac obiectul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cerinţei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de fonduri proprii pentru riscul CVA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  <w:t>Prevederile punctelor 4-10 din Regulamentul cu privire la tratamentul riscului de ajustare a evaluării creditului pentru bănci.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0AFD70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5D036842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F0308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8176EA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din care: numai instrumente financiare derivate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  <w:t xml:space="preserve">Instrumentele financiare derivate care intră sub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incidenţa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punctelor 4-10 din Regulamentul cu privire la tratamentul riscului de ajustare a evaluării creditului pentru bănci (adică toate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tranzacţiile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raportate la rândul 0010, excluzând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tranzacţiile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de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finanţare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prin titluri de valoare).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BBD5BC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0FE735E3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C3997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E292B6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din care: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tranzacţii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în mod normal exceptate, pe care băncile aleg să le reintegreze în calculul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cerinţelor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de fonduri proprii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  <w:t>Prevederile punctului 9 din Regulamentul cu privire la tratamentul riscului de ajustare a evaluării creditului pentru bănci.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234A54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587177C5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0AEFE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0040-0220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A136E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ELEMENTE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MEMORANDUM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C2E254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18C03C7C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0CB6C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0040-0110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CDC870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Exceptări CVA: impactul marginal al reintegrării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  <w:t xml:space="preserve">Impactul marginal al reintegrării exceptărilor CVA, astfel cum sunt definite în punctele 6-8 din Regulamentul cu privire la tratamentul riscului de ajustare a evaluării creditului pentru bănci, separat pentru fiecare exceptare. Impactul marginal este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diferenţa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, exprimată în valoare absolută, dintre indicatorul relevant pentru domeniul de aplicare al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tranzacţiilor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menţionate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la rândul 0010 după reintegrarea exceptării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şi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indicatorul relevant pentru domeniul de aplicare al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tranzacţiilor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menţionate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la rândul 0010.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8F5517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5ED3F1CB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DD0E75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8054D4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Toate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tranzacţiile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exceptate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  <w:t xml:space="preserve">Impact marginal al reintegrării tuturor exceptărilor de la CVA,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aşa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cum sunt definite în punctele 6-8 din Regulamentul cu privire la tratamentul riscului de ajustare a evaluării creditului pentru bănci.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  <w:t xml:space="preserve">Sfera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tranzacţiilor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ar trebui să fie formată din toate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tranzacţiile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raportate la rândul 0010, fără a se lua în considerare exceptările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menţionate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în punctele 6-8 din Regulamentul cu privire la tratamentul riscului de ajustare a evaluării creditului pentru bănci. Mai exact,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tranzacţiile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menţionate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anterior, excluse în prezent din calculul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cerinţelor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de capital CVA în temeiul acestor puncte, ar trebui reintegrate în scopul acestui rând. Totalul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tranzacţiilor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reintegrate în scopul acestui rând vor fi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tranzacţiile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care sunt reintegrate în scopul rândurilor 0050-0110.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4316F1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53727FA0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EFD53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D331A4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Tranzacţiile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clientului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  <w:t xml:space="preserve">Impactul marginal al reintegrării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tranzacţiilor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clientului, astfel cum sunt definite în punctul 6 din Regulamentul cu privire la tratamentul riscului de ajustare a evaluării creditului pentru bănci.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  <w:t xml:space="preserve">Impactul marginal al reintegrării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tranzacţiilor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dintre un client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şi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un membru compensator, atunci când membrul compensator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acţionează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ca intermediar între client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şi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o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contraparte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centrală calificată, care sunt exceptate în temeiul în punctul 6 din Regulamentul cu privire la 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lastRenderedPageBreak/>
              <w:t xml:space="preserve">tratamentul riscului de ajustare a evaluării creditului pentru bănci de la domeniul de aplicare al rândului 0010.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Clienţii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nu ar trebui să reintegreze aceste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tranzacţii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atunci când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tranzacţia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îndeplineşte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cerinţele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de la punctele 141-144 din Regulamentul nr.220/2025 cu privire la tratamentul riscului de credit al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contrapărţii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pentru bănci.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241CD3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42BD6205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970712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F73799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Tranzacţii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cu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contrapărţi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nefinanciare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  <w:t xml:space="preserve">Impactul marginal al reintegrării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tranzacţiilor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cu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contrapărţi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nefinanciare, astfel cum sunt definite în subpunctul 7.1. din Regulamentul cu privire la tratamentul riscului de ajustare a evaluării creditului pentru bănci.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1CBE4D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4335C301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662FA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402C8F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Tranzacţii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numai cu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contrapărţi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nefinanciare din UE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  <w:t xml:space="preserve">Impactul marginal al reintegrării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tranzacţiilor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numai cu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contrapărţi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nefinanciare din UE. În sfera de aplicare a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tranzacţiilor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ar trebui să intre toate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tranzacţiile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raportate pe rândul 0060, mai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puţin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tranzacţiile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care intră în sfera de aplicare a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tranzacţiilor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raportate pe rândul 0080.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FA37A6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146AC3A3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86E631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399DB2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Tranzacţii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numai cu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contrapărţi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nefinanciare din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ţări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terţe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  <w:t xml:space="preserve">Impactul marginal al reintegrării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tranzacţiilor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numai cu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contrapărţi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nefinanciare din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ţări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terţe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. În sfera de aplicare a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tranzacţiilor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ar trebui să intre toate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tranzacţiile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raportate pe rândul 0060, mai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puţin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tranzacţiile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care intră în sfera de aplicare a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tranzacţiilor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raportate pe rândul 0070.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63A2D7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09C8B0C1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DFFA29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8CEEB4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Tranzacţii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intragrup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  <w:t xml:space="preserve">Impactul marginal al reintegrării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tranzacţiilor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intragrup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, astfel cum sunt definite în subpunctul 7.2. din Regulamentul cu privire la tratamentul riscului de ajustare a evaluării creditului pentru bănci.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AE5A3E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1E474843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31806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16DFC8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Tranzacţii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având drept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contrapărţi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fonduri de pensii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  <w:t xml:space="preserve">Impact marginal al reintegrării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tranzacţiilor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cu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contrapărţi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la fonduri de pensii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şi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care sunt exceptate de la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cerinţele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de fonduri proprii pentru riscul CVA în conformitate cu punctul 8 din Regulamentul cu privire la tratamentul riscului de ajustare a evaluării creditului pentru bănci.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93CDB5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75012FA3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ABEBF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88157E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Tranzacţii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cu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contrapărţi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suverane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  <w:t xml:space="preserve">Impact marginal al reintegrării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tranzacţiilor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cu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contrapărţi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suverane, astfel cum sunt definite în subpunctul 7.3. din Regulamentul cu privire la tratamentul riscului de ajustare a evaluării creditului pentru bănci.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AD7228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125D6503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8D6884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EF63CC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Acoperiri ale riscului CVA neincluse în domeniul de aplicare al CVA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  <w:t xml:space="preserve">Acoperiri ale riscului CVA neincluse în domeniul de aplicare al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cerinţelor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de fonduri proprii pentru riscul CVA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şi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care fac obiectul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cerinţelor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de capital pentru riscul de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piaţă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D46CC4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5D2440B6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F8D459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F70CE9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Total SFT-uri care nu sunt compensate la nivel central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şi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care sunt evaluate la valoarea justă în scopuri contabile, fără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tranzacţiile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exceptate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  <w:t xml:space="preserve">SFT-uri care au valoarea justă în scopuri contabile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şi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care ar intra în domeniul de aplicare al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cerinţelor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de fonduri proprii pentru riscul CVA în conformitate cu punctul 5 din Regulamentul cu privire la tratamentul riscului de ajustare a evaluării creditului pentru bănci, indiferent dacă expunerile la riscul CVA care decurg din acestea sunt semnificative. SFT-urile care sunt exceptate de la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cerinţele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de fonduri proprii pentru riscul CVA în conformitate cu punctele 6-8 din Regulamentul cu privire la tratamentul riscului de ajustare a evaluării creditului pentru bănci ar trebui excluse din calcule, cu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excepţia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cazului în care banca ar 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lastRenderedPageBreak/>
              <w:t xml:space="preserve">include aceste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tranzacţii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în domeniul de aplicare al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cerinţelor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de fonduri proprii pentru riscul CVA în conformitate cu prevederile punctului 9 din Regulamentul cu privire la tratamentul riscului de ajustare a evaluării creditului pentru bănci.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B7116C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0109DFD0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D37649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0140-0160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6DA524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Acoperiri ale riscului CVA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  <w:t>Prevederile punctelor 119-124 din Regulamentul cu privire la tratamentul riscului de ajustare a evaluării creditului pentru bănci.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6508A8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795D9EBE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DBECAD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1398F0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Credit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Default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Swap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(CDS) având la bază o singură semnătură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DF30BD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7691D06A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9FE84B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9F5617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Credit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Default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Swap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(CDS) bazate pe indici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B6B02F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6B27A160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F56E70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9AA950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Alte instrumente financiare derivate clasificate drept acoperiri ale riscului CVA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5E27BF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2724C008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66DBA7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0170-0220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059892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Tipuri de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tranzacţii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cu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contrapărţi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supuse abordării SA-CVA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  <w:t xml:space="preserve">Se alege câte un sector pentru fiecare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contraparte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. Numărul de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contrapărţi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pe sector se raportează în coloana 0130.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BAD906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483630C9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E7A854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318BEA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Băncile centrale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D14AFB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3EE0A172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FA724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FFC14C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Administraţii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publice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A76BD4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4C26682B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9E6EF3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1346A1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Bănci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896CF8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74112EB5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77200C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1551D1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Firme de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investiţii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F0704F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5D129ADE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39D5CE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CC2A03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Alte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societăţi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financiare (excluzând firmele de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investiţii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747754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0E2ABBD1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CC302F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614661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Societăţi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 xml:space="preserve"> nefinanciare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D5BFC4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5F2AD522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73ECD6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519227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Agregarea componentelor sistematice ale riscului CVA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  <w:t xml:space="preserve">Punctul 115 din Regulamentul cu privire la tratamentul riscului de ajustare a evaluării creditului pentru bănci.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Cerinţe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de fonduri proprii în ipoteza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corelaţiei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perfecte (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S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o-MD"/>
                <w14:ligatures w14:val="none"/>
              </w:rPr>
              <w:t>c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SCVA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o-MD"/>
                <w14:ligatures w14:val="none"/>
              </w:rPr>
              <w:t>c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o-MD"/>
                <w14:ligatures w14:val="none"/>
              </w:rPr>
              <w:t>).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Factorul de actualizare de 0,65 nu se aplică.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60B5C9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583A4D" w:rsidRPr="00583A4D" w14:paraId="3C7C19D3" w14:textId="77777777" w:rsidTr="00583A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3F4F99" w14:textId="77777777" w:rsidR="00583A4D" w:rsidRPr="00583A4D" w:rsidRDefault="00583A4D" w:rsidP="0058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DD56AE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o-MD"/>
                <w14:ligatures w14:val="none"/>
              </w:rPr>
              <w:t>Agregarea componentelor nesistematice ale riscului de CVA</w:t>
            </w:r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br/>
              <w:t xml:space="preserve">Punctul 115 din Regulamentul cu privire la tratamentul riscului de ajustare a evaluării creditului pentru bănci.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Cerinţe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de fonduri proprii în ipoteza de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corelaţie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zero (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sqrt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(ScSCVAc2)). Factorul de actualizare de 0,65 nu se aplică.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533099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</w:tbl>
    <w:p w14:paraId="7FF78EFD" w14:textId="77777777" w:rsidR="00583A4D" w:rsidRPr="00583A4D" w:rsidRDefault="00583A4D" w:rsidP="00583A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573569DC" w14:textId="77777777" w:rsidR="00583A4D" w:rsidRPr="00583A4D" w:rsidRDefault="00583A4D" w:rsidP="00583A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583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2.</w:t>
      </w:r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Prima raportare conform formularului raportului din punctul 1 se va efectua pentru </w:t>
      </w:r>
      <w:proofErr w:type="spellStart"/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situaţia</w:t>
      </w:r>
      <w:proofErr w:type="spellEnd"/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din 31 martie 2027, în cazul raportării la nivel individual </w:t>
      </w:r>
      <w:proofErr w:type="spellStart"/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respectiv, pentru </w:t>
      </w:r>
      <w:proofErr w:type="spellStart"/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situaţia</w:t>
      </w:r>
      <w:proofErr w:type="spellEnd"/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din 31 decembrie 2027, în cazul raportării pe bază consolidată.</w:t>
      </w:r>
    </w:p>
    <w:p w14:paraId="372AF0C4" w14:textId="77777777" w:rsidR="00583A4D" w:rsidRPr="00583A4D" w:rsidRDefault="00583A4D" w:rsidP="00583A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583A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3.</w:t>
      </w:r>
      <w:r w:rsidRPr="00583A4D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Prezenta hotărâre intră în vigoare la data de 1 ianuarie 2027.</w:t>
      </w:r>
    </w:p>
    <w:p w14:paraId="0461E8C9" w14:textId="77777777" w:rsidR="00583A4D" w:rsidRDefault="00583A4D" w:rsidP="00583A4D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</w:p>
    <w:p w14:paraId="264648B5" w14:textId="77777777" w:rsidR="00583A4D" w:rsidRDefault="00583A4D" w:rsidP="00583A4D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</w:p>
    <w:p w14:paraId="0C917CF3" w14:textId="77777777" w:rsidR="00583A4D" w:rsidRDefault="00583A4D" w:rsidP="00583A4D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</w:p>
    <w:p w14:paraId="138E0656" w14:textId="77777777" w:rsidR="00583A4D" w:rsidRPr="00583A4D" w:rsidRDefault="00583A4D" w:rsidP="00583A4D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8"/>
        <w:gridCol w:w="2021"/>
      </w:tblGrid>
      <w:tr w:rsidR="00583A4D" w:rsidRPr="00583A4D" w14:paraId="79AC552F" w14:textId="77777777" w:rsidTr="00583A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056372DD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PREŞEDINTELE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3A2BBA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</w:tr>
      <w:tr w:rsidR="00583A4D" w:rsidRPr="00583A4D" w14:paraId="185964CE" w14:textId="77777777" w:rsidTr="00583A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634CEB60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COMITETULUI EXECUTIV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EEB318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Anca-Dana DRAGU</w:t>
            </w:r>
          </w:p>
        </w:tc>
      </w:tr>
      <w:tr w:rsidR="00583A4D" w:rsidRPr="00583A4D" w14:paraId="2D53FD70" w14:textId="77777777" w:rsidTr="00583A4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8" w:type="dxa"/>
              <w:bottom w:w="24" w:type="dxa"/>
              <w:right w:w="48" w:type="dxa"/>
            </w:tcMar>
            <w:hideMark/>
          </w:tcPr>
          <w:p w14:paraId="387CF872" w14:textId="77777777" w:rsidR="00583A4D" w:rsidRPr="00583A4D" w:rsidRDefault="00583A4D" w:rsidP="00583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Nr.120. </w:t>
            </w:r>
            <w:proofErr w:type="spellStart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Chişinău</w:t>
            </w:r>
            <w:proofErr w:type="spellEnd"/>
            <w:r w:rsidRPr="00583A4D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 21 mai 2026.</w:t>
            </w:r>
          </w:p>
        </w:tc>
      </w:tr>
    </w:tbl>
    <w:p w14:paraId="39A47604" w14:textId="77777777" w:rsidR="00B174AA" w:rsidRDefault="00B174AA"/>
    <w:sectPr w:rsidR="00B17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24531" w14:textId="77777777" w:rsidR="009D29DE" w:rsidRDefault="009D29DE" w:rsidP="009D29DE">
      <w:pPr>
        <w:spacing w:after="0" w:line="240" w:lineRule="auto"/>
      </w:pPr>
      <w:r>
        <w:separator/>
      </w:r>
    </w:p>
  </w:endnote>
  <w:endnote w:type="continuationSeparator" w:id="0">
    <w:p w14:paraId="340405FC" w14:textId="77777777" w:rsidR="009D29DE" w:rsidRDefault="009D29DE" w:rsidP="009D2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3051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0D8440" w14:textId="65EB1F8F" w:rsidR="009D29DE" w:rsidRDefault="009D29DE">
        <w:pPr>
          <w:pStyle w:val="Footer"/>
          <w:jc w:val="right"/>
        </w:pPr>
        <w:r w:rsidRPr="009D29DE">
          <w:rPr>
            <w:rFonts w:ascii="Times New Roman" w:hAnsi="Times New Roman" w:cs="Times New Roman"/>
          </w:rPr>
          <w:fldChar w:fldCharType="begin"/>
        </w:r>
        <w:r w:rsidRPr="009D29DE">
          <w:rPr>
            <w:rFonts w:ascii="Times New Roman" w:hAnsi="Times New Roman" w:cs="Times New Roman"/>
          </w:rPr>
          <w:instrText xml:space="preserve"> PAGE   \* MERGEFORMAT </w:instrText>
        </w:r>
        <w:r w:rsidRPr="009D29DE">
          <w:rPr>
            <w:rFonts w:ascii="Times New Roman" w:hAnsi="Times New Roman" w:cs="Times New Roman"/>
          </w:rPr>
          <w:fldChar w:fldCharType="separate"/>
        </w:r>
        <w:r w:rsidRPr="009D29DE">
          <w:rPr>
            <w:rFonts w:ascii="Times New Roman" w:hAnsi="Times New Roman" w:cs="Times New Roman"/>
            <w:noProof/>
          </w:rPr>
          <w:t>2</w:t>
        </w:r>
        <w:r w:rsidRPr="009D29DE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472268B" w14:textId="77777777" w:rsidR="009D29DE" w:rsidRDefault="009D2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8C045" w14:textId="77777777" w:rsidR="009D29DE" w:rsidRDefault="009D29DE" w:rsidP="009D29DE">
      <w:pPr>
        <w:spacing w:after="0" w:line="240" w:lineRule="auto"/>
      </w:pPr>
      <w:r>
        <w:separator/>
      </w:r>
    </w:p>
  </w:footnote>
  <w:footnote w:type="continuationSeparator" w:id="0">
    <w:p w14:paraId="7298B9D3" w14:textId="77777777" w:rsidR="009D29DE" w:rsidRDefault="009D29DE" w:rsidP="009D29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4D"/>
    <w:rsid w:val="00583A4D"/>
    <w:rsid w:val="009D29DE"/>
    <w:rsid w:val="00AF37FA"/>
    <w:rsid w:val="00B1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83AA0"/>
  <w15:chartTrackingRefBased/>
  <w15:docId w15:val="{2C5F2545-208C-47C6-B0DA-4E202A2E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583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ttsp">
    <w:name w:val="tt_sp"/>
    <w:basedOn w:val="Normal"/>
    <w:rsid w:val="00583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cn">
    <w:name w:val="cn"/>
    <w:basedOn w:val="Normal"/>
    <w:rsid w:val="00583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emit">
    <w:name w:val="emit"/>
    <w:basedOn w:val="Normal"/>
    <w:rsid w:val="00583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cb">
    <w:name w:val="cb"/>
    <w:basedOn w:val="Normal"/>
    <w:rsid w:val="00583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tt">
    <w:name w:val="tt"/>
    <w:basedOn w:val="Normal"/>
    <w:rsid w:val="00583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83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pb">
    <w:name w:val="pb"/>
    <w:basedOn w:val="Normal"/>
    <w:rsid w:val="00583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rg">
    <w:name w:val="rg"/>
    <w:basedOn w:val="Normal"/>
    <w:rsid w:val="00583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D2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9DE"/>
  </w:style>
  <w:style w:type="paragraph" w:styleId="Footer">
    <w:name w:val="footer"/>
    <w:basedOn w:val="Normal"/>
    <w:link w:val="FooterChar"/>
    <w:uiPriority w:val="99"/>
    <w:unhideWhenUsed/>
    <w:rsid w:val="009D2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5EEC8-2C81-4B53-9F09-4A4997E7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3623</Words>
  <Characters>21020</Characters>
  <Application>Microsoft Office Word</Application>
  <DocSecurity>0</DocSecurity>
  <Lines>175</Lines>
  <Paragraphs>49</Paragraphs>
  <ScaleCrop>false</ScaleCrop>
  <Company/>
  <LinksUpToDate>false</LinksUpToDate>
  <CharactersWithSpaces>24594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2026-05-27T13:25:00Z</dcterms:created>
  <dcterms:modified xsi:type="dcterms:W3CDTF">2026-05-27T13:31:00Z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62dcf-d39f-4edc-a396-338a56ba9170_Enabled">
    <vt:lpwstr>true</vt:lpwstr>
  </property>
  <property fmtid="{D5CDD505-2E9C-101B-9397-08002B2CF9AE}" pid="3" name="MSIP_Label_38962dcf-d39f-4edc-a396-338a56ba9170_SetDate">
    <vt:lpwstr>2026-05-27T13:28:51Z</vt:lpwstr>
  </property>
  <property fmtid="{D5CDD505-2E9C-101B-9397-08002B2CF9AE}" pid="4" name="MSIP_Label_38962dcf-d39f-4edc-a396-338a56ba9170_Method">
    <vt:lpwstr>Privileged</vt:lpwstr>
  </property>
  <property fmtid="{D5CDD505-2E9C-101B-9397-08002B2CF9AE}" pid="5" name="MSIP_Label_38962dcf-d39f-4edc-a396-338a56ba9170_Name">
    <vt:lpwstr>NONE</vt:lpwstr>
  </property>
  <property fmtid="{D5CDD505-2E9C-101B-9397-08002B2CF9AE}" pid="6" name="MSIP_Label_38962dcf-d39f-4edc-a396-338a56ba9170_SiteId">
    <vt:lpwstr>5887d430-0034-4561-b771-12c77faf2fa0</vt:lpwstr>
  </property>
  <property fmtid="{D5CDD505-2E9C-101B-9397-08002B2CF9AE}" pid="7" name="MSIP_Label_38962dcf-d39f-4edc-a396-338a56ba9170_ActionId">
    <vt:lpwstr>176c3681-b19a-45ba-91a0-fb05e12270b9</vt:lpwstr>
  </property>
  <property fmtid="{D5CDD505-2E9C-101B-9397-08002B2CF9AE}" pid="8" name="MSIP_Label_38962dcf-d39f-4edc-a396-338a56ba9170_ContentBits">
    <vt:lpwstr>0</vt:lpwstr>
  </property>
</Properties>
</file>